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0" w:rsidRDefault="005C6900" w:rsidP="005C6900">
      <w:pPr>
        <w:pStyle w:val="tb-na18"/>
        <w:rPr>
          <w:color w:val="000000"/>
        </w:rPr>
      </w:pPr>
      <w:r>
        <w:rPr>
          <w:color w:val="000000"/>
        </w:rPr>
        <w:t>MINISTARSTVO ZDRAVLJA</w:t>
      </w:r>
    </w:p>
    <w:p w:rsidR="005C6900" w:rsidRDefault="005C6900" w:rsidP="005C6900">
      <w:pPr>
        <w:pStyle w:val="broj-d"/>
        <w:rPr>
          <w:color w:val="000000"/>
        </w:rPr>
      </w:pPr>
      <w:r>
        <w:rPr>
          <w:color w:val="000000"/>
        </w:rPr>
        <w:t>1110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>Na temelju članka 27. stavka 3. Zakona o presađivanju ljudskih organa u svrhu liječenja (»Narodne novine«, br. 144/2012) ministar zdravlja donosi</w:t>
      </w:r>
    </w:p>
    <w:p w:rsidR="005C6900" w:rsidRDefault="005C6900" w:rsidP="005C6900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5C6900" w:rsidRDefault="005C6900" w:rsidP="005C6900">
      <w:pPr>
        <w:pStyle w:val="t-12-9-fett-s"/>
        <w:rPr>
          <w:color w:val="000000"/>
        </w:rPr>
      </w:pPr>
      <w:r>
        <w:rPr>
          <w:color w:val="000000"/>
        </w:rPr>
        <w:t>O NAČINU IZVJEŠĆIVANJA, NAČINU VOĐENJA EVIDENCIJE I ROKOVIMA IZVJEŠĆIVANJA O OZBILJNIM ŠTETNIM DOGAĐAJIMA I OZBILJNIM ŠTETNIM REAKCIJAMA U POSTUPCIMA PRESAĐIVANJA LJUDSKIH ORGANA U SVRHU LIJEČENJA</w:t>
      </w:r>
    </w:p>
    <w:p w:rsidR="005C6900" w:rsidRDefault="005C6900" w:rsidP="005C6900">
      <w:pPr>
        <w:pStyle w:val="clanak"/>
        <w:rPr>
          <w:color w:val="000000"/>
        </w:rPr>
      </w:pPr>
      <w:r>
        <w:rPr>
          <w:color w:val="000000"/>
        </w:rPr>
        <w:t>Članak 1.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>Ovim Pravilnikom propisuje se način izvješćivanja o ozbiljnim štetnim događajima i ozbiljnim štetnim reakcijama te način vođenja evidencije i rokovi izvješćivanja o ozbiljnim štetnim događajima i ozbiljnim štetnim reakcijama vezanim uz postupke od darivanja do presađivanja ljudskih organa u svrhu liječenja.</w:t>
      </w:r>
    </w:p>
    <w:p w:rsidR="005C6900" w:rsidRDefault="005C6900" w:rsidP="005C6900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>Ovim se Pravilnikom u pravni poredak Republike Hrvatske prenose sljedeće direktive: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>– Direktiva 2010/53/EZ Europskog parlamenta i Vijeća od 7. srpnja 2010. o standardima kvalitete i sigurnosti ljudskih organa namijenjenih presađivanju (SL L 243, 16. 9. 2010.),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>– Provedbena direktiva Komisije 2012/25/EU od 9. listopada 2012. o načinu izvješćivanja o razmjeni ljudskih organa namijenjenih presađivanju između država članica (SL L 275, 10. 10. 2012.)</w:t>
      </w:r>
    </w:p>
    <w:p w:rsidR="005C6900" w:rsidRDefault="005C6900" w:rsidP="005C6900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>Transplantacijski centri te sve zdravstvene ustanove uključene u postupke od darivanja do presađivanja ljudskih organa u svrhu liječenja obvezne su imenovati osobu/e zadužene za praćenje i dojavu ozbiljnih štetnih događaja i ozbiljnih štetnih reakcija te o tome obavijestiti Ministarstvo zdravlja (u daljnjem tekstu: Nacionalno koordinacijsko tijelo).</w:t>
      </w:r>
    </w:p>
    <w:p w:rsidR="005C6900" w:rsidRDefault="005C6900" w:rsidP="005C6900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>(1) Svi zdravstveni radnici uključeni u postupke iz članka 3. ovoga Pravilnika obvezni su imenovanoj osobi u zdravstvenoj ustanovi dojaviti svaku ozbiljnu štetnu reakciju ili ozbiljni štetni događaj ili sumnju o ozbiljnoj štetnoj reakciji ili o ozbiljnom štetnom događaju koji zahtijevaju hitno postupanje, putem telefona bez odlaganja.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(2) Imenovana osoba obvezna je o svakoj ozbiljnoj štetnoj reakciji ili o ozbiljnom štetnom događaju ili sumnji na ozbiljnu štetnu reakciju ili na ozbiljni štetni događaj koji zahtijevaju hitno postupanje radi neposrednog ugrožavanja javnog zdravlja bez odlaganja obavijestiti Nacionalno koordinacijsko tijelo i </w:t>
      </w:r>
      <w:proofErr w:type="spellStart"/>
      <w:r>
        <w:rPr>
          <w:color w:val="000000"/>
        </w:rPr>
        <w:t>Eurotransplant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Foundation</w:t>
      </w:r>
      <w:proofErr w:type="spellEnd"/>
      <w:r>
        <w:rPr>
          <w:color w:val="000000"/>
        </w:rPr>
        <w:t xml:space="preserve"> (u daljnjem tekstu: </w:t>
      </w:r>
      <w:proofErr w:type="spellStart"/>
      <w:r>
        <w:rPr>
          <w:color w:val="000000"/>
        </w:rPr>
        <w:t>Eurotransplant</w:t>
      </w:r>
      <w:proofErr w:type="spellEnd"/>
      <w:r>
        <w:rPr>
          <w:color w:val="000000"/>
        </w:rPr>
        <w:t>) telefonskim i pisanim putem.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Nacionalno koordinacijsko tijelo obvezno je u suradnji s </w:t>
      </w:r>
      <w:proofErr w:type="spellStart"/>
      <w:r>
        <w:rPr>
          <w:color w:val="000000"/>
        </w:rPr>
        <w:t>Eurotransplantom</w:t>
      </w:r>
      <w:proofErr w:type="spellEnd"/>
      <w:r>
        <w:rPr>
          <w:color w:val="000000"/>
        </w:rPr>
        <w:t xml:space="preserve"> bez odlaganja o ozbiljnom štetnom događaju i/ili ozbiljnoj štetnoj reakciji ili sumnji na ozbiljni štetni događaj i/ili na ozbiljnu štetnu reakciju iz stavka 2. ovoga članka obavijestiti sve transplantacijske centre primatelje organa i nadležna tijela država u kojima se transplantacijski centri primatelja organa nalaze na način propisan obrascem u Prilogu I. koji je sastavni dio ovoga Pravilnika.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>(4) Transplantacijski centar ili zdravstvena ustanova podnositeljica prijave dužna je dostaviti sve raspoložive informacije i izvršiti procjenu rizika te uzročno-posljedične povezanosti između uzimanja, odnosno presađivanja organa, odnosno drugih postupaka iz članka 3. ovoga Pravilnika i ozbiljne štetne reakcije ili ozbiljnog štetnog događaja te po završetku istraživanja dostaviti zaključak Nacionalnom koordinacijskom tijelu.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(5) Nacionalno koordinacijsko tijelo dužno je u roku od tri mjeseca od dostave početnog izvješća iz stavka 3. ovoga članka podnijeti </w:t>
      </w:r>
      <w:proofErr w:type="spellStart"/>
      <w:r>
        <w:rPr>
          <w:color w:val="000000"/>
        </w:rPr>
        <w:t>Eurotransplantu</w:t>
      </w:r>
      <w:proofErr w:type="spellEnd"/>
      <w:r>
        <w:rPr>
          <w:color w:val="000000"/>
        </w:rPr>
        <w:t xml:space="preserve"> i nadležnim tijelima država u kojima se transplantacijski centri primatelja organa nalaze, konačno izvješće o ozbiljnom štetnom događaju ili o ozbiljnoj štetnoj reakciji koje sadrži podatke navedene u Prilogu II. koji je sastavni dio ovoga Pravilnika.</w:t>
      </w:r>
    </w:p>
    <w:p w:rsidR="005C6900" w:rsidRDefault="005C6900" w:rsidP="005C6900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U slučaju zaprimanja dojave o ozbiljnoj štetnoj reakciji ili o ozbiljnom štetnom događaju ili sumnji na ozbiljnu štetnu reakciju ili na ozbiljni štetni događaj iz država članica </w:t>
      </w:r>
      <w:proofErr w:type="spellStart"/>
      <w:r>
        <w:rPr>
          <w:color w:val="000000"/>
        </w:rPr>
        <w:t>Eurotransplanta</w:t>
      </w:r>
      <w:proofErr w:type="spellEnd"/>
      <w:r>
        <w:rPr>
          <w:color w:val="000000"/>
        </w:rPr>
        <w:t xml:space="preserve"> ili drugih država, Nacionalno koordinacijsko tijelo dužno je bez odlaganja izvijestiti imenovanu osobu transplantacijskog centra primatelja organa te u suradnji s transplantacijskim centrom osigurati provedbu preventivnih i korektivnih mjera.</w:t>
      </w:r>
    </w:p>
    <w:p w:rsidR="005C6900" w:rsidRDefault="005C6900" w:rsidP="005C6900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>(1) Osim postupaka iz članaka 4. i 5. ovoga Pravilnika Nacionalno koordinacijsko tijelo sudjeluje u međunarodnom sustavu Europske unije za hitno izvješćivanje i prijavi ozbiljnih štetnih reakcija i ozbiljnih štetnih događaja.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>(2) Nacionalno koordinacijsko tijelo izrađuje i dostavlja godišnje izvješće o prijavljenim ozbiljnim štetnim događajima i ozbiljnim štetnim reakcijama, Europskoj Komisiji najkasnije do 30. lipnja tekuće godine za prethodnu godinu.</w:t>
      </w:r>
    </w:p>
    <w:p w:rsidR="005C6900" w:rsidRDefault="005C6900" w:rsidP="005C6900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5C6900" w:rsidRDefault="005C6900" w:rsidP="005C6900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5C6900" w:rsidRDefault="005C6900" w:rsidP="005C6900">
      <w:pPr>
        <w:pStyle w:val="klasa2"/>
        <w:jc w:val="both"/>
        <w:rPr>
          <w:color w:val="000000"/>
        </w:rPr>
      </w:pPr>
      <w:r>
        <w:rPr>
          <w:color w:val="000000"/>
        </w:rPr>
        <w:t>Klasa: 011-02/13-02/41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534-10-1-13-2</w:t>
      </w:r>
    </w:p>
    <w:p w:rsidR="005C6900" w:rsidRDefault="005C6900" w:rsidP="005C6900">
      <w:pPr>
        <w:pStyle w:val="klasa2"/>
        <w:jc w:val="both"/>
        <w:rPr>
          <w:color w:val="000000"/>
        </w:rPr>
      </w:pPr>
      <w:r>
        <w:rPr>
          <w:color w:val="000000"/>
        </w:rPr>
        <w:lastRenderedPageBreak/>
        <w:t>Zagreb, 9. travnja 2013.</w:t>
      </w:r>
    </w:p>
    <w:p w:rsidR="005C6900" w:rsidRDefault="005C6900" w:rsidP="005C6900">
      <w:pPr>
        <w:pStyle w:val="t-9-8-potpis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prof. dr. sc. Rajko Ostojić, dr. med.,</w:t>
      </w:r>
      <w:r>
        <w:rPr>
          <w:color w:val="000000"/>
        </w:rPr>
        <w:t xml:space="preserve"> v. r.</w:t>
      </w:r>
    </w:p>
    <w:p w:rsidR="005C6900" w:rsidRDefault="005C6900" w:rsidP="005C6900">
      <w:pPr>
        <w:pStyle w:val="prilog-39"/>
        <w:jc w:val="center"/>
        <w:rPr>
          <w:color w:val="000000"/>
        </w:rPr>
      </w:pPr>
      <w:r>
        <w:rPr>
          <w:b/>
          <w:bCs/>
          <w:color w:val="000000"/>
        </w:rPr>
        <w:t>PRILOG I.</w:t>
      </w:r>
    </w:p>
    <w:p w:rsidR="005C6900" w:rsidRDefault="005C6900" w:rsidP="005C6900">
      <w:pPr>
        <w:pStyle w:val="t-12-9-sred"/>
        <w:rPr>
          <w:color w:val="000000"/>
        </w:rPr>
      </w:pPr>
      <w:r>
        <w:rPr>
          <w:color w:val="000000"/>
        </w:rPr>
        <w:t>POČETNO IZVJEŠĆE O SUMNJI NA OZBILJNI ŠTETNI DOGAĐAJ I/ILI NA OZBILJNU ŠTETNU REAKCIJU (OŠDR/O)</w:t>
      </w:r>
    </w:p>
    <w:p w:rsidR="005C6900" w:rsidRDefault="005C6900" w:rsidP="005C6900">
      <w:pPr>
        <w:pStyle w:val="slika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7C976BE" wp14:editId="76DD180F">
            <wp:extent cx="4410075" cy="4914900"/>
            <wp:effectExtent l="0" t="0" r="9525" b="0"/>
            <wp:docPr id="1" name="Slika 1" descr="http://narodne-novine.nn.hr/clanci/sluzbeni/dodatni/4261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2612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00" w:rsidRDefault="005C6900" w:rsidP="005C6900">
      <w:pPr>
        <w:pStyle w:val="prilog-39"/>
        <w:jc w:val="center"/>
        <w:rPr>
          <w:color w:val="000000"/>
        </w:rPr>
      </w:pPr>
      <w:r>
        <w:rPr>
          <w:b/>
          <w:bCs/>
          <w:color w:val="000000"/>
        </w:rPr>
        <w:br/>
        <w:t>PRILOG II.</w:t>
      </w:r>
    </w:p>
    <w:p w:rsidR="005C6900" w:rsidRDefault="005C6900" w:rsidP="005C6900">
      <w:pPr>
        <w:pStyle w:val="t-12-9-sred"/>
        <w:rPr>
          <w:color w:val="000000"/>
        </w:rPr>
      </w:pPr>
      <w:r>
        <w:rPr>
          <w:color w:val="000000"/>
        </w:rPr>
        <w:t>KONAČNO IZVJEŠĆE O OZBILJNOM ŠTETNOM DOGAĐAJU I/ILI O OZBILJNOJ ŠTETNOJ REAKCIJI</w:t>
      </w:r>
    </w:p>
    <w:p w:rsidR="005C6900" w:rsidRDefault="005C6900" w:rsidP="005C6900">
      <w:pPr>
        <w:pStyle w:val="slika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1AF0EAC4" wp14:editId="276B29A9">
            <wp:extent cx="4419600" cy="3943350"/>
            <wp:effectExtent l="0" t="0" r="0" b="0"/>
            <wp:docPr id="2" name="Slika 2" descr="http://narodne-novine.nn.hr/clanci/sluzbeni/dodatni/426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42613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E2" w:rsidRDefault="008175E2">
      <w:bookmarkStart w:id="0" w:name="_GoBack"/>
      <w:bookmarkEnd w:id="0"/>
    </w:p>
    <w:sectPr w:rsidR="0081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00"/>
    <w:rsid w:val="005C6900"/>
    <w:rsid w:val="0081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5C69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5C6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5C6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5C690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C6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5C6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5C6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C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C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5C6900"/>
    <w:rPr>
      <w:b/>
      <w:bCs/>
    </w:rPr>
  </w:style>
  <w:style w:type="paragraph" w:customStyle="1" w:styleId="prilog-39">
    <w:name w:val="prilog-39"/>
    <w:basedOn w:val="Normal"/>
    <w:rsid w:val="005C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rsid w:val="005C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5C69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5C6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5C6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5C690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C6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5C6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5C6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C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C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5C6900"/>
    <w:rPr>
      <w:b/>
      <w:bCs/>
    </w:rPr>
  </w:style>
  <w:style w:type="paragraph" w:customStyle="1" w:styleId="prilog-39">
    <w:name w:val="prilog-39"/>
    <w:basedOn w:val="Normal"/>
    <w:rsid w:val="005C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rsid w:val="005C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2015-01-12T13:05:00Z</dcterms:created>
  <dcterms:modified xsi:type="dcterms:W3CDTF">2015-01-12T13:05:00Z</dcterms:modified>
</cp:coreProperties>
</file>